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中标公告</w:t>
      </w:r>
    </w:p>
    <w:p>
      <w:pPr>
        <w:spacing w:line="360" w:lineRule="auto"/>
        <w:rPr>
          <w:rFonts w:hint="eastAsia"/>
        </w:rPr>
      </w:pPr>
    </w:p>
    <w:p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  <w:b/>
          <w:bCs/>
        </w:rPr>
        <w:t>项目编号：JX-022-004-18</w:t>
      </w:r>
    </w:p>
    <w:p>
      <w:pPr>
        <w:bidi w:val="0"/>
        <w:spacing w:line="360" w:lineRule="auto"/>
        <w:rPr>
          <w:rFonts w:hint="eastAsia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/>
        </w:rPr>
      </w:pPr>
      <w:r>
        <w:rPr>
          <w:rFonts w:hint="eastAsia"/>
          <w:b/>
          <w:bCs/>
        </w:rPr>
        <w:t>项目名称：南沙大道跨河桥梁通航设施安装工程</w:t>
      </w:r>
    </w:p>
    <w:p>
      <w:pPr>
        <w:bidi w:val="0"/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三、项目概况：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1.采购内容：南沙大道跨河桥梁通航设施安装工程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 w:ascii="宋体" w:hAnsi="宋体"/>
          <w:sz w:val="24"/>
          <w:highlight w:val="none"/>
        </w:rPr>
        <w:t>工期要求：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  <w:u w:val="single"/>
        </w:rPr>
        <w:t xml:space="preserve">0天   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 w:ascii="宋体" w:hAnsi="宋体"/>
          <w:sz w:val="24"/>
          <w:highlight w:val="none"/>
        </w:rPr>
        <w:t>本招标项目</w:t>
      </w:r>
      <w:r>
        <w:rPr>
          <w:rFonts w:hint="eastAsia"/>
          <w:sz w:val="24"/>
          <w:highlight w:val="none"/>
          <w:lang w:val="en-US" w:eastAsia="zh-CN"/>
        </w:rPr>
        <w:t>招标</w:t>
      </w:r>
      <w:r>
        <w:rPr>
          <w:rFonts w:hint="eastAsia" w:ascii="宋体" w:hAnsi="宋体"/>
          <w:sz w:val="24"/>
          <w:highlight w:val="none"/>
        </w:rPr>
        <w:t>控制价为</w:t>
      </w:r>
      <w:r>
        <w:rPr>
          <w:rFonts w:hint="eastAsia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2106565.70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highlight w:val="none"/>
        </w:rPr>
        <w:t>元</w:t>
      </w:r>
      <w:r>
        <w:rPr>
          <w:rFonts w:hint="eastAsia"/>
        </w:rPr>
        <w:t>。</w:t>
      </w:r>
    </w:p>
    <w:p>
      <w:pPr>
        <w:numPr>
          <w:ilvl w:val="0"/>
          <w:numId w:val="3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本项目招标类型：邀请招标。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四、中标结果：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中标（成交）单位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中标（成交）单位地址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中标（成交）下浮率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广州市河路交通工程有限公司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广州市番禺区大龙街石岗东村清河大街三巷14号104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1.00%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五、代理服务费收费标准及金额：</w:t>
      </w:r>
    </w:p>
    <w:p>
      <w:pPr>
        <w:pStyle w:val="2"/>
        <w:spacing w:line="360" w:lineRule="auto"/>
        <w:ind w:firstLine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代理费收费标准：</w:t>
      </w:r>
      <w:r>
        <w:rPr>
          <w:rFonts w:hint="eastAsia"/>
          <w:b w:val="0"/>
          <w:bCs w:val="0"/>
          <w:lang w:val="en-US" w:eastAsia="zh-CN"/>
        </w:rPr>
        <w:t>参照《招标代理服务收费管理暂行办法》（计价格[2002]1980号）、《国家发展改革委办公厅关于招标代理服务收费有关问题的通知》（发改办价格[2003]857号）及《关于降低部分建设项目收费标准规范收费行为等有关问题的通知》（发改价格[2011]534号）的规定，代理服务收费以成交总金额作为收费的计算基数，代理服务收费按差额定率累进法计算。</w:t>
      </w:r>
    </w:p>
    <w:p>
      <w:pPr>
        <w:pStyle w:val="2"/>
        <w:spacing w:line="360" w:lineRule="auto"/>
        <w:ind w:firstLine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代理服务费金额：[南沙大道跨河桥梁通航设施安装工程(项目编号：JX-022-004-18)]；</w:t>
      </w:r>
      <w:r>
        <w:rPr>
          <w:rFonts w:hint="eastAsia"/>
          <w:b/>
          <w:bCs/>
          <w:lang w:val="en-US" w:eastAsia="zh-CN"/>
        </w:rPr>
        <w:t>17745.96 元。</w:t>
      </w:r>
    </w:p>
    <w:p>
      <w:pPr>
        <w:pStyle w:val="2"/>
        <w:spacing w:line="360" w:lineRule="auto"/>
        <w:ind w:firstLine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收取对象：中标（成交）单位</w:t>
      </w:r>
    </w:p>
    <w:p>
      <w:pPr>
        <w:pStyle w:val="2"/>
        <w:spacing w:line="360" w:lineRule="auto"/>
        <w:ind w:firstLine="420" w:firstLineChars="0"/>
        <w:rPr>
          <w:rFonts w:hint="eastAsia"/>
          <w:b/>
          <w:bCs/>
          <w:lang w:val="en-US" w:eastAsia="zh-CN"/>
        </w:rPr>
      </w:pPr>
    </w:p>
    <w:p>
      <w:pPr>
        <w:pStyle w:val="2"/>
        <w:spacing w:line="360" w:lineRule="auto"/>
        <w:rPr>
          <w:rFonts w:hint="eastAsia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六、公告期限：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自本公告发布之日起5个日历天。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ind w:firstLine="420" w:firstLineChars="0"/>
        <w:jc w:val="both"/>
        <w:rPr>
          <w:rFonts w:hint="eastAsia"/>
          <w:b/>
          <w:bCs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七、其他补充事宜：</w:t>
      </w:r>
    </w:p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南沙大道跨河桥梁通航设施安装工程 (项目编号：JX-022-004-18)</w:t>
      </w:r>
    </w:p>
    <w:tbl>
      <w:tblPr>
        <w:tblStyle w:val="15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1600"/>
        <w:gridCol w:w="1733"/>
        <w:gridCol w:w="1650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投标人</w:t>
            </w:r>
          </w:p>
        </w:tc>
        <w:tc>
          <w:tcPr>
            <w:tcW w:w="160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资格性审查</w:t>
            </w:r>
          </w:p>
        </w:tc>
        <w:tc>
          <w:tcPr>
            <w:tcW w:w="17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符合性审查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综合得分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得分排名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广州市河路交通工程有限公司</w:t>
            </w:r>
          </w:p>
        </w:tc>
        <w:tc>
          <w:tcPr>
            <w:tcW w:w="160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通过</w:t>
            </w:r>
          </w:p>
        </w:tc>
        <w:tc>
          <w:tcPr>
            <w:tcW w:w="17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通过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68.80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pacing w:val="4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广州市江路建筑工程有限公司</w:t>
            </w:r>
          </w:p>
        </w:tc>
        <w:tc>
          <w:tcPr>
            <w:tcW w:w="160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4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通过</w:t>
            </w:r>
          </w:p>
        </w:tc>
        <w:tc>
          <w:tcPr>
            <w:tcW w:w="17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通过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62.00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7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pacing w:val="4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广州市番禺区石基明顺土石方工程部</w:t>
            </w:r>
          </w:p>
        </w:tc>
        <w:tc>
          <w:tcPr>
            <w:tcW w:w="160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通过</w:t>
            </w:r>
          </w:p>
        </w:tc>
        <w:tc>
          <w:tcPr>
            <w:tcW w:w="17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通过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55.75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八、凡对本次公告内容提出询问，请按以下方式联系：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1.采购人联系方式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采购人名称：广州市番禺区南沙大道建设有限公司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采购人地址：</w:t>
      </w:r>
      <w:r>
        <w:rPr>
          <w:rFonts w:hint="eastAsia"/>
          <w:lang w:val="en-US" w:eastAsia="zh-CN"/>
        </w:rPr>
        <w:t>广州市番禺区沙湾街西环路2133号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采购人联系人：</w:t>
      </w:r>
      <w:r>
        <w:rPr>
          <w:rFonts w:hint="eastAsia"/>
          <w:lang w:val="en-US" w:eastAsia="zh-CN"/>
        </w:rPr>
        <w:t>李工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采购人联系电话：</w:t>
      </w:r>
      <w:r>
        <w:rPr>
          <w:rFonts w:hint="eastAsia"/>
          <w:lang w:val="en-US" w:eastAsia="zh-CN"/>
        </w:rPr>
        <w:t>020-84739938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2.采购代理机构联系方式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采购代理机构名称：广东精信工程造价咨询有限公司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采购代理机构地址：广州市番禺区钟村镇汉溪大道时代E-park A2栋906房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</w:rPr>
        <w:t>采购代理机构联系人：</w:t>
      </w:r>
      <w:r>
        <w:rPr>
          <w:rFonts w:hint="eastAsia"/>
          <w:lang w:val="en-US" w:eastAsia="zh-CN"/>
        </w:rPr>
        <w:t>杨先生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>采购代理机构联系电话：</w:t>
      </w:r>
      <w:r>
        <w:rPr>
          <w:rFonts w:hint="eastAsia"/>
          <w:lang w:val="en-US" w:eastAsia="zh-CN"/>
        </w:rPr>
        <w:t>020-84509850-8018、19858596897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jc w:val="righ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广东精信工程造价咨询有限公司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lang w:val="en-US" w:eastAsia="zh-CN"/>
        </w:rPr>
        <w:t>2022年12月5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B6339A"/>
    <w:multiLevelType w:val="multilevel"/>
    <w:tmpl w:val="BEB6339A"/>
    <w:lvl w:ilvl="0" w:tentative="0">
      <w:start w:val="1"/>
      <w:numFmt w:val="chineseCounting"/>
      <w:pStyle w:val="3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cs="宋体"/>
        <w:b/>
        <w:sz w:val="32"/>
        <w:szCs w:val="32"/>
      </w:rPr>
    </w:lvl>
    <w:lvl w:ilvl="1" w:tentative="0">
      <w:start w:val="1"/>
      <w:numFmt w:val="decimal"/>
      <w:pStyle w:val="4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DA8BAD2C"/>
    <w:multiLevelType w:val="singleLevel"/>
    <w:tmpl w:val="DA8BAD2C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8D16BF9"/>
    <w:multiLevelType w:val="singleLevel"/>
    <w:tmpl w:val="48D16B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jQyNDE1MDZlMWJiNDBhYjk5NTEyY2M2ZTdlODIifQ=="/>
  </w:docVars>
  <w:rsids>
    <w:rsidRoot w:val="75CC3817"/>
    <w:rsid w:val="010E7462"/>
    <w:rsid w:val="01103920"/>
    <w:rsid w:val="06995DAD"/>
    <w:rsid w:val="0A2E7D4E"/>
    <w:rsid w:val="0A454A85"/>
    <w:rsid w:val="0A762549"/>
    <w:rsid w:val="0C424CC3"/>
    <w:rsid w:val="13EA406A"/>
    <w:rsid w:val="1E7A38E3"/>
    <w:rsid w:val="1E7D7A4A"/>
    <w:rsid w:val="209F31B7"/>
    <w:rsid w:val="214A6777"/>
    <w:rsid w:val="264F7972"/>
    <w:rsid w:val="2EFD2E9E"/>
    <w:rsid w:val="31A94281"/>
    <w:rsid w:val="36001A12"/>
    <w:rsid w:val="36734A79"/>
    <w:rsid w:val="3CD22159"/>
    <w:rsid w:val="46EE526B"/>
    <w:rsid w:val="4796711A"/>
    <w:rsid w:val="4D8D2164"/>
    <w:rsid w:val="4F2A1121"/>
    <w:rsid w:val="52C97B4A"/>
    <w:rsid w:val="5896534E"/>
    <w:rsid w:val="58B91213"/>
    <w:rsid w:val="5D20711D"/>
    <w:rsid w:val="5DC866D4"/>
    <w:rsid w:val="659A1A88"/>
    <w:rsid w:val="65C734E2"/>
    <w:rsid w:val="69A24D27"/>
    <w:rsid w:val="6CC314AE"/>
    <w:rsid w:val="723B08AD"/>
    <w:rsid w:val="75CC3817"/>
    <w:rsid w:val="76DB00B4"/>
    <w:rsid w:val="76E63711"/>
    <w:rsid w:val="7AB615E4"/>
    <w:rsid w:val="7D584EEB"/>
    <w:rsid w:val="7EC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rFonts w:ascii="宋体" w:hAnsi="宋体" w:eastAsia="宋体" w:cs="宋体"/>
      <w:b/>
      <w:bCs/>
      <w:kern w:val="44"/>
      <w:sz w:val="32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宋体" w:hAnsi="宋体" w:eastAsia="宋体"/>
      <w:b/>
      <w:bCs/>
      <w:sz w:val="30"/>
      <w:szCs w:val="30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bCs/>
      <w:sz w:val="28"/>
      <w:szCs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b/>
      <w:bCs/>
      <w:sz w:val="28"/>
      <w:szCs w:val="28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bCs/>
      <w:sz w:val="28"/>
      <w:szCs w:val="28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b/>
      <w:bCs/>
      <w:sz w:val="28"/>
      <w:szCs w:val="28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b/>
      <w:bCs/>
      <w:sz w:val="28"/>
      <w:szCs w:val="28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500" w:lineRule="exact"/>
    </w:pPr>
    <w:rPr>
      <w:rFonts w:ascii="宋体" w:hAnsi="宋体"/>
      <w:spacing w:val="4"/>
      <w:sz w:val="24"/>
    </w:rPr>
  </w:style>
  <w:style w:type="paragraph" w:styleId="12">
    <w:name w:val="Body Text Indent"/>
    <w:basedOn w:val="1"/>
    <w:qFormat/>
    <w:uiPriority w:val="0"/>
    <w:pPr>
      <w:spacing w:line="500" w:lineRule="exact"/>
      <w:ind w:firstLine="238" w:firstLineChars="99"/>
    </w:pPr>
    <w:rPr>
      <w:rFonts w:ascii="宋体" w:hAnsi="宋体"/>
      <w:snapToGrid w:val="0"/>
      <w:kern w:val="0"/>
      <w:sz w:val="24"/>
    </w:rPr>
  </w:style>
  <w:style w:type="paragraph" w:styleId="13">
    <w:name w:val="Body Text First Indent 2"/>
    <w:basedOn w:val="12"/>
    <w:qFormat/>
    <w:uiPriority w:val="0"/>
    <w:pPr>
      <w:spacing w:before="0" w:beforeLines="0" w:beforeAutospacing="0" w:after="120" w:afterLines="0" w:afterAutospacing="0"/>
      <w:ind w:left="420" w:leftChars="200" w:firstLine="420" w:firstLineChars="200"/>
    </w:pPr>
    <w:rPr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870</Characters>
  <Lines>0</Lines>
  <Paragraphs>0</Paragraphs>
  <TotalTime>5</TotalTime>
  <ScaleCrop>false</ScaleCrop>
  <LinksUpToDate>false</LinksUpToDate>
  <CharactersWithSpaces>921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2022-08-24T09:31:00Z</dcterms:created>
  <dc:creator>广东精信</dc:creator>
  <cp:lastModifiedBy>广东精信</cp:lastModifiedBy>
  <cp:lastPrinted>2022-08-25T07:10:00Z</cp:lastPrinted>
  <dcterms:modified xsi:type="dcterms:W3CDTF">2022-12-05T03:53:13Z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2BD2C46541E446E98A32C8B5B54085A9</vt:lpwstr>
  </property>
</Properties>
</file>